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178C" w:rsidRPr="0075178C" w:rsidRDefault="0075178C" w:rsidP="0075178C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>Edice MYSTICKÝ LÉ</w:t>
      </w:r>
      <w:r w:rsidRPr="0075178C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Č</w:t>
      </w:r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>ITEL</w:t>
      </w:r>
    </w:p>
    <w:p w:rsidR="0075178C" w:rsidRDefault="0075178C" w:rsidP="0075178C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>MYSTICKÝ LÉ</w:t>
      </w:r>
      <w:r w:rsidRPr="0075178C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Č</w:t>
      </w:r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>ITEL: Š</w:t>
      </w:r>
      <w:r w:rsidRPr="0075178C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ŤÁ</w:t>
      </w:r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VA Z </w:t>
      </w:r>
      <w:r w:rsidRPr="0075178C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Ř</w:t>
      </w:r>
      <w:r w:rsidRPr="0075178C">
        <w:rPr>
          <w:rFonts w:ascii="Arial" w:eastAsia="Calibri" w:hAnsi="Arial" w:cs="Arial"/>
          <w:b/>
          <w:bCs/>
          <w:sz w:val="28"/>
          <w:szCs w:val="28"/>
          <w:lang w:eastAsia="en-US"/>
        </w:rPr>
        <w:t>APÍKATÉHO CELERU</w:t>
      </w:r>
    </w:p>
    <w:p w:rsidR="0075178C" w:rsidRDefault="0075178C" w:rsidP="0075178C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C57A01" w:rsidRPr="007F5EB1" w:rsidRDefault="005F66FA" w:rsidP="0075178C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880DCF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75178C">
        <w:rPr>
          <w:rFonts w:ascii="Arial" w:eastAsia="Calibri" w:hAnsi="Arial" w:cs="Arial"/>
          <w:bCs/>
          <w:i/>
          <w:sz w:val="22"/>
          <w:szCs w:val="22"/>
          <w:lang w:eastAsia="en-US"/>
        </w:rPr>
        <w:t>7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>. února 2020</w:t>
      </w:r>
    </w:p>
    <w:p w:rsidR="0075178C" w:rsidRPr="0075178C" w:rsidRDefault="0075178C" w:rsidP="0075178C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p w:rsidR="0075178C" w:rsidRDefault="0075178C" w:rsidP="0075178C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Všechno, co pot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ebujete v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 xml:space="preserve">t o </w:t>
      </w:r>
      <w:proofErr w:type="spellStart"/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superléku</w:t>
      </w:r>
      <w:proofErr w:type="spellEnd"/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, který lé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 xml:space="preserve"> st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eva, zmír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ň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uje poruchy zažívání, vyrovnává hladinu cukru v krvi, krevní tlak, hmotnostní výkyvy a funkci nadledvin a neutralizuje a odstra</w:t>
      </w:r>
      <w:r w:rsidRPr="0075178C">
        <w:rPr>
          <w:rFonts w:ascii="Arial" w:eastAsia="Calibri" w:hAnsi="Arial" w:cs="Arial" w:hint="eastAsia"/>
          <w:b/>
          <w:sz w:val="22"/>
          <w:szCs w:val="22"/>
          <w:lang w:eastAsia="en-US"/>
        </w:rPr>
        <w:t>ň</w:t>
      </w:r>
      <w:r w:rsidRPr="0075178C">
        <w:rPr>
          <w:rFonts w:ascii="Arial" w:eastAsia="Calibri" w:hAnsi="Arial" w:cs="Arial"/>
          <w:b/>
          <w:sz w:val="22"/>
          <w:szCs w:val="22"/>
          <w:lang w:eastAsia="en-US"/>
        </w:rPr>
        <w:t>uje toxiny z jater a mozku.</w:t>
      </w:r>
    </w:p>
    <w:p w:rsidR="00CB702A" w:rsidRPr="007F5EB1" w:rsidRDefault="0075178C" w:rsidP="0075178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97790</wp:posOffset>
            </wp:positionV>
            <wp:extent cx="2470150" cy="3457575"/>
            <wp:effectExtent l="0" t="0" r="6350" b="9525"/>
            <wp:wrapTight wrapText="bothSides">
              <wp:wrapPolygon edited="0">
                <wp:start x="0" y="0"/>
                <wp:lineTo x="0" y="21540"/>
                <wp:lineTo x="21489" y="21540"/>
                <wp:lineTo x="21489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L_CEL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:rsidR="003048AE" w:rsidRDefault="003048AE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b/>
          <w:sz w:val="22"/>
          <w:szCs w:val="22"/>
          <w:lang w:eastAsia="en-US"/>
        </w:rPr>
        <w:t>NOVINKA OD AUTORA BESTSELLER</w:t>
      </w:r>
      <w:r w:rsidRPr="003048AE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b/>
          <w:sz w:val="22"/>
          <w:szCs w:val="22"/>
          <w:lang w:eastAsia="en-US"/>
        </w:rPr>
        <w:t xml:space="preserve"> ANTHONYHO WILLIAMA ZE SÉRIE MYSTICKÝ LÉ</w:t>
      </w:r>
      <w:r w:rsidRPr="003048AE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b/>
          <w:sz w:val="22"/>
          <w:szCs w:val="22"/>
          <w:lang w:eastAsia="en-US"/>
        </w:rPr>
        <w:t>ITEL…</w:t>
      </w:r>
    </w:p>
    <w:p w:rsidR="003048AE" w:rsidRDefault="003048AE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048AE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Další kniha Anthonyho Williama z 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ady Mystický 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itel seznamuje s neuv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itelnou schopností celerové š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ťá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vy výrazn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zlepšit zdravotní stav na všech úrovních.</w:t>
      </w:r>
    </w:p>
    <w:p w:rsidR="008860B0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Šťá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va z 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apíkatého celeru 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miliony lidí po celém sv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. Dozvíte se, jak š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ťá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va z 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apíkatého celeru funguje, jak š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ťá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vu ud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lat, v jakém množství a kdy ji pít, jak správn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provád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t 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ebné pro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išt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ní, co o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ekávat, když se 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lo za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ne detoxikovat, a které chronické a záhadné nemoci a symptomy dokáže vylé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it, 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: únavy, psychické otup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losti, akné, ekzému, závislosti, ADHD, onemocn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ní štítné žlázy, diabetu, poruch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jmu potravy, autoimunitních onemocn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ní, </w:t>
      </w:r>
      <w:proofErr w:type="spellStart"/>
      <w:r w:rsidRPr="003048AE">
        <w:rPr>
          <w:rFonts w:ascii="Arial" w:eastAsia="Calibri" w:hAnsi="Arial" w:cs="Arial"/>
          <w:sz w:val="22"/>
          <w:szCs w:val="22"/>
          <w:lang w:eastAsia="en-US"/>
        </w:rPr>
        <w:t>Lymské</w:t>
      </w:r>
      <w:proofErr w:type="spellEnd"/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boreliózy, o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ních nemocn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ní, poruchy zažíván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, nerovnováhy cukru v krvi, kolísavého tlaku</w:t>
      </w:r>
    </w:p>
    <w:p w:rsidR="003048AE" w:rsidRPr="008860B0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Pr="008860B0" w:rsidRDefault="003048AE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208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Pr="003048AE">
        <w:rPr>
          <w:rFonts w:ascii="Arial" w:eastAsia="Calibri" w:hAnsi="Arial" w:cs="Arial"/>
          <w:b/>
          <w:bCs/>
          <w:sz w:val="22"/>
          <w:szCs w:val="22"/>
          <w:lang w:eastAsia="en-US"/>
        </w:rPr>
        <w:t>170×240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3048AE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b/>
          <w:bCs/>
          <w:sz w:val="22"/>
          <w:szCs w:val="22"/>
          <w:lang w:eastAsia="en-US"/>
        </w:rPr>
        <w:t>O autorovi:</w:t>
      </w:r>
    </w:p>
    <w:p w:rsidR="003048AE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sz w:val="22"/>
          <w:szCs w:val="22"/>
          <w:lang w:eastAsia="en-US"/>
        </w:rPr>
        <w:t>Narodil se s mimo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dnou schopností rozmlouvat s vrcholnou duchovní silou, již on sám nazývá Duch. Ten mu poskytuje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ekvapiv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esné informace ohledn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diagnóz a 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by nemocí,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evratné informace, které 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asto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edbíhají dobu a sou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asné léka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ské komunit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ješt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bec nejsou známy. </w:t>
      </w:r>
    </w:p>
    <w:p w:rsidR="003048AE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Od 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ty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let, kdy šokoval svou rodinu oznámením, že babi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ka, dosud zcela bez potíží, má rakovinu plic (což se krátce nato léka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sky potvrdilo), využívá Anthony svého daru odhalovat i ty nejzáhadn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jší choroby a radí, co d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lat pro úplné uzdravení. Nebývalá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esnost a úsp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nost, s níž jako lé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itel-médium pracuje, mu vynesly d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ru a lásku tisíc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lidí po celém sv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, mezi nimiž najdeme i filmové a rockové hv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zdy, miliardá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e, autory bestseller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a nespo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et dalších lidí všech spole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enských vrstev, kte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se uzdravili až díky vhled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m získaným prost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ednictvím Ducha. Anthony se stal též neocenitelným pomocníkem pro léka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e, kte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pot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ebovali vy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ešit obtížné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pady.</w:t>
      </w:r>
    </w:p>
    <w:p w:rsidR="008860B0" w:rsidRP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8AE">
        <w:rPr>
          <w:rFonts w:ascii="Arial" w:eastAsia="Calibri" w:hAnsi="Arial" w:cs="Arial"/>
          <w:sz w:val="22"/>
          <w:szCs w:val="22"/>
          <w:lang w:eastAsia="en-US"/>
        </w:rPr>
        <w:t>Anthony William má více než 1,8 milionu p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>znivc</w:t>
      </w:r>
      <w:r w:rsidRPr="003048AE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3048AE">
        <w:rPr>
          <w:rFonts w:ascii="Arial" w:eastAsia="Calibri" w:hAnsi="Arial" w:cs="Arial"/>
          <w:sz w:val="22"/>
          <w:szCs w:val="22"/>
          <w:lang w:eastAsia="en-US"/>
        </w:rPr>
        <w:t xml:space="preserve"> na Facebooku, další informace najdete na webu: </w:t>
      </w:r>
      <w:hyperlink r:id="rId9" w:history="1">
        <w:r w:rsidRPr="003048AE">
          <w:rPr>
            <w:rStyle w:val="Hypertextovodkaz"/>
            <w:rFonts w:ascii="Arial" w:eastAsia="Calibri" w:hAnsi="Arial" w:cs="Arial"/>
            <w:sz w:val="22"/>
            <w:szCs w:val="22"/>
            <w:lang w:eastAsia="en-US"/>
          </w:rPr>
          <w:t>www.medicalmedium.com</w:t>
        </w:r>
      </w:hyperlink>
      <w:r w:rsidRPr="003048AE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048AE" w:rsidRDefault="003048AE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3048AE" w:rsidRPr="003048AE" w:rsidRDefault="003048AE" w:rsidP="003048AE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„Celerová š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ťá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va ovládla planetu. Je neuv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ěř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itelné, jak úsp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ěš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né je Anthonyho hnutí a kolika lidem pomohl k mimo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dnému zdraví.“ </w:t>
      </w:r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Sylvester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Stallone</w:t>
      </w:r>
      <w:proofErr w:type="spellEnd"/>
    </w:p>
    <w:p w:rsidR="003048AE" w:rsidRDefault="003048AE" w:rsidP="003048AE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048AE" w:rsidRPr="003048AE" w:rsidRDefault="003048AE" w:rsidP="003048AE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Anthony pomocí lé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ivé síly celerové š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ťá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vy obrátil životy mnoha lidí k lepšímu.”</w:t>
      </w:r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Novak</w:t>
      </w:r>
      <w:proofErr w:type="spellEnd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Djokovi</w:t>
      </w:r>
      <w:r w:rsidRPr="003048AE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ć</w:t>
      </w:r>
      <w:proofErr w:type="spellEnd"/>
    </w:p>
    <w:p w:rsidR="003048AE" w:rsidRDefault="003048AE" w:rsidP="003048AE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8860B0" w:rsidRDefault="003048AE" w:rsidP="003048AE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Anthonyho radami se 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>dí celá naše rodina. Jsou sv</w:t>
      </w:r>
      <w:r w:rsidRPr="003048AE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3048A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tlem, které dovedlo ke zdraví již mnoho lidí. Opravdu si ho vážíme.“ </w:t>
      </w:r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Robert De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Niro</w:t>
      </w:r>
      <w:proofErr w:type="spellEnd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a Grace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Hightower</w:t>
      </w:r>
      <w:proofErr w:type="spellEnd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De </w:t>
      </w:r>
      <w:proofErr w:type="spellStart"/>
      <w:r w:rsidRPr="003048AE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Niro</w:t>
      </w:r>
      <w:proofErr w:type="spellEnd"/>
    </w:p>
    <w:p w:rsidR="003048AE" w:rsidRDefault="003048AE" w:rsidP="003048A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10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1314" w:rsidRDefault="00101314">
      <w:r>
        <w:separator/>
      </w:r>
    </w:p>
  </w:endnote>
  <w:endnote w:type="continuationSeparator" w:id="0">
    <w:p w:rsidR="00101314" w:rsidRDefault="0010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1314" w:rsidRDefault="00101314">
      <w:r>
        <w:separator/>
      </w:r>
    </w:p>
  </w:footnote>
  <w:footnote w:type="continuationSeparator" w:id="0">
    <w:p w:rsidR="00101314" w:rsidRDefault="0010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01314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94CE5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rad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calmedium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2921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2020-06-18T07:21:00Z</dcterms:created>
  <dcterms:modified xsi:type="dcterms:W3CDTF">2020-06-18T07:25:00Z</dcterms:modified>
</cp:coreProperties>
</file>